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37" w:rsidRDefault="00565737" w:rsidP="00565737">
      <w:pPr>
        <w:jc w:val="right"/>
        <w:rPr>
          <w:b/>
        </w:rPr>
      </w:pPr>
      <w:r>
        <w:rPr>
          <w:b/>
        </w:rPr>
        <w:t xml:space="preserve">ВЫПИСКА </w:t>
      </w:r>
      <w:proofErr w:type="gramStart"/>
      <w:r>
        <w:rPr>
          <w:b/>
        </w:rPr>
        <w:t>из</w:t>
      </w:r>
      <w:proofErr w:type="gramEnd"/>
      <w:r>
        <w:rPr>
          <w:b/>
        </w:rPr>
        <w:t xml:space="preserve"> </w:t>
      </w:r>
    </w:p>
    <w:p w:rsidR="00565737" w:rsidRDefault="00565737" w:rsidP="00565737">
      <w:pPr>
        <w:jc w:val="right"/>
        <w:rPr>
          <w:b/>
        </w:rPr>
      </w:pPr>
      <w:r>
        <w:rPr>
          <w:b/>
        </w:rPr>
        <w:t>Устава Радченского сельского поселения</w:t>
      </w:r>
    </w:p>
    <w:p w:rsidR="00565737" w:rsidRDefault="00565737" w:rsidP="00565737">
      <w:pPr>
        <w:jc w:val="right"/>
        <w:rPr>
          <w:b/>
        </w:rPr>
      </w:pPr>
      <w:r>
        <w:rPr>
          <w:b/>
        </w:rPr>
        <w:t>Богучарского муниципального района</w:t>
      </w:r>
    </w:p>
    <w:p w:rsidR="00565737" w:rsidRDefault="00565737" w:rsidP="00565737">
      <w:pPr>
        <w:jc w:val="right"/>
        <w:rPr>
          <w:b/>
        </w:rPr>
      </w:pPr>
      <w:r>
        <w:rPr>
          <w:b/>
        </w:rPr>
        <w:t>Воронежской области</w:t>
      </w:r>
    </w:p>
    <w:p w:rsidR="00565737" w:rsidRDefault="00565737" w:rsidP="00565737">
      <w:pPr>
        <w:jc w:val="right"/>
        <w:rPr>
          <w:b/>
        </w:rPr>
      </w:pPr>
    </w:p>
    <w:p w:rsidR="00493A6A" w:rsidRDefault="00493A6A" w:rsidP="00565737">
      <w:pPr>
        <w:jc w:val="center"/>
        <w:rPr>
          <w:b/>
        </w:rPr>
      </w:pPr>
      <w:r w:rsidRPr="000029A6">
        <w:rPr>
          <w:b/>
        </w:rPr>
        <w:t>СТАТЬЯ  18. Территориальное общественное самоуправление</w:t>
      </w:r>
      <w:r>
        <w:rPr>
          <w:b/>
        </w:rPr>
        <w:t>.</w:t>
      </w:r>
    </w:p>
    <w:p w:rsidR="00493A6A" w:rsidRPr="000029A6" w:rsidRDefault="00493A6A" w:rsidP="00493A6A">
      <w:pPr>
        <w:rPr>
          <w:b/>
        </w:rPr>
      </w:pP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1</w:t>
      </w:r>
      <w:r w:rsidRPr="000029A6">
        <w:rPr>
          <w:b/>
        </w:rPr>
        <w:t>.</w:t>
      </w:r>
      <w:r w:rsidRPr="000029A6">
        <w:t xml:space="preserve"> Территориальное общественное самоуправление - самоорганизация граждан по месту их жительства </w:t>
      </w:r>
      <w:proofErr w:type="gramStart"/>
      <w:r w:rsidRPr="000029A6">
        <w:t>на части территории</w:t>
      </w:r>
      <w:proofErr w:type="gramEnd"/>
      <w:r w:rsidRPr="000029A6">
        <w:t xml:space="preserve"> Радченского  сельского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Границы территории, на которой осуществляется территориальное общественное самоуправление, устанавливаются Советом народных депутатов Радченского сельского поселения по предложению населения, проживающего на данной территории.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2. Территориальное общественное самоуправление осуществляется в сельском поселении непосредственно населением, путем проведения собраний и конференций граждан, а также путем создания органов территориального общественного самоуправления.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Радченского сельского поселения. Порядок регистрации устава территориального общественного самоуправления определяется нормативными правовыми актами Совета народных депутатов Радченского сельского поселения.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Территориальное общественное самоуправление</w:t>
      </w:r>
      <w:r>
        <w:t>,</w:t>
      </w:r>
      <w:r w:rsidRPr="000029A6">
        <w:t xml:space="preserve"> в соответствии с его уставом</w:t>
      </w:r>
      <w:r>
        <w:t>,</w:t>
      </w:r>
      <w:r w:rsidRPr="000029A6">
        <w:t xml:space="preserve">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1) установление структуры органов территориального общественного самоуправления;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2) принятие устава территориального общественного самоуправления, внесение в него изменений и дополнений;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3) избрание органов территориального общественного самоуправления;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4) определение основных направлений деятельности территориального общественного самоуправления;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5) утверждение сметы доходов и расходов территориального общественного самоуправления и отчет</w:t>
      </w:r>
      <w:proofErr w:type="gramStart"/>
      <w:r w:rsidRPr="000029A6">
        <w:t>а о ее</w:t>
      </w:r>
      <w:proofErr w:type="gramEnd"/>
      <w:r w:rsidRPr="000029A6">
        <w:t xml:space="preserve"> исполнении;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lastRenderedPageBreak/>
        <w:t>6) рассмотрение и утверждение отчетов о деятельности органов территориального общественного самоуправления.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8. Органы территориального общественного самоуправления: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1) представляют интересы населения, проживающего на соответствующей территории;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2) обеспечивают исполнение решений, принятых на собраниях и конференциях граждан;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9. В уставе территориального общественного самоуправления устанавливаются: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1) территория, на которой оно осуществляется;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2) цели, задачи, формы и основные направления деятельности территориального общественного самоуправления;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4) порядок принятия решений;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6) порядок прекращения осуществления территориального общественного самоуправления.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  <w:r w:rsidRPr="000029A6"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нормативными правовыми актами Совета народных депутатов Радченского сельского поселения.</w:t>
      </w:r>
    </w:p>
    <w:p w:rsidR="00493A6A" w:rsidRPr="00493A6A" w:rsidRDefault="00493A6A" w:rsidP="00493A6A">
      <w:pPr>
        <w:widowControl w:val="0"/>
        <w:snapToGrid w:val="0"/>
        <w:ind w:firstLine="567"/>
        <w:jc w:val="both"/>
        <w:rPr>
          <w:i/>
        </w:rPr>
      </w:pPr>
      <w:r w:rsidRPr="00493A6A">
        <w:rPr>
          <w:i/>
        </w:rPr>
        <w:t>(ст.18 в редакции решения Совета народных депутатов</w:t>
      </w:r>
      <w:r>
        <w:rPr>
          <w:i/>
        </w:rPr>
        <w:t xml:space="preserve"> Радченского сельского поселения</w:t>
      </w:r>
      <w:r w:rsidRPr="00493A6A">
        <w:rPr>
          <w:i/>
        </w:rPr>
        <w:t xml:space="preserve">  от 25.02.2015 № 266).</w:t>
      </w:r>
    </w:p>
    <w:p w:rsidR="00493A6A" w:rsidRPr="000029A6" w:rsidRDefault="00493A6A" w:rsidP="00493A6A">
      <w:pPr>
        <w:widowControl w:val="0"/>
        <w:snapToGrid w:val="0"/>
        <w:ind w:firstLine="567"/>
        <w:jc w:val="both"/>
      </w:pPr>
    </w:p>
    <w:p w:rsidR="008513CA" w:rsidRDefault="008513CA"/>
    <w:sectPr w:rsidR="008513CA" w:rsidSect="0085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3A6A"/>
    <w:rsid w:val="001B3057"/>
    <w:rsid w:val="00262A88"/>
    <w:rsid w:val="002B4310"/>
    <w:rsid w:val="003D26C8"/>
    <w:rsid w:val="00493A6A"/>
    <w:rsid w:val="004C3D8E"/>
    <w:rsid w:val="005476C0"/>
    <w:rsid w:val="00565737"/>
    <w:rsid w:val="005B1D53"/>
    <w:rsid w:val="006226D7"/>
    <w:rsid w:val="00844768"/>
    <w:rsid w:val="008513CA"/>
    <w:rsid w:val="00AE1EC4"/>
    <w:rsid w:val="00CF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adm-radch-vs</dc:creator>
  <cp:keywords/>
  <dc:description/>
  <cp:lastModifiedBy>Radchen</cp:lastModifiedBy>
  <cp:revision>4</cp:revision>
  <cp:lastPrinted>2017-09-27T07:20:00Z</cp:lastPrinted>
  <dcterms:created xsi:type="dcterms:W3CDTF">2017-09-27T07:18:00Z</dcterms:created>
  <dcterms:modified xsi:type="dcterms:W3CDTF">2020-08-10T11:18:00Z</dcterms:modified>
</cp:coreProperties>
</file>