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FF13CC">
        <w:rPr>
          <w:b/>
          <w:sz w:val="28"/>
          <w:szCs w:val="28"/>
        </w:rPr>
        <w:t>0</w:t>
      </w:r>
      <w:r w:rsidR="008254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8254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2870CA">
        <w:rPr>
          <w:rFonts w:ascii="Times New Roman" w:hAnsi="Times New Roman" w:cs="Times New Roman"/>
          <w:sz w:val="28"/>
          <w:szCs w:val="28"/>
        </w:rPr>
        <w:t>02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2870CA">
        <w:rPr>
          <w:rFonts w:ascii="Times New Roman" w:hAnsi="Times New Roman" w:cs="Times New Roman"/>
          <w:sz w:val="28"/>
          <w:szCs w:val="28"/>
        </w:rPr>
        <w:t>302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70CA">
        <w:rPr>
          <w:rFonts w:ascii="Times New Roman" w:hAnsi="Times New Roman" w:cs="Times New Roman"/>
          <w:sz w:val="28"/>
          <w:szCs w:val="28"/>
        </w:rPr>
        <w:t>07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2870CA">
        <w:rPr>
          <w:rFonts w:ascii="Times New Roman" w:hAnsi="Times New Roman" w:cs="Times New Roman"/>
          <w:sz w:val="28"/>
          <w:szCs w:val="28"/>
        </w:rPr>
        <w:t>48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</w:t>
      </w:r>
      <w:r w:rsidR="002870CA">
        <w:rPr>
          <w:rFonts w:ascii="Times New Roman" w:hAnsi="Times New Roman" w:cs="Times New Roman"/>
          <w:sz w:val="28"/>
          <w:szCs w:val="28"/>
        </w:rPr>
        <w:t>95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="002870CA">
        <w:rPr>
          <w:rFonts w:ascii="Times New Roman" w:hAnsi="Times New Roman" w:cs="Times New Roman"/>
          <w:sz w:val="28"/>
          <w:szCs w:val="28"/>
        </w:rPr>
        <w:t>54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</w:t>
      </w:r>
      <w:r w:rsidR="002870CA">
        <w:rPr>
          <w:rFonts w:ascii="Times New Roman" w:hAnsi="Times New Roman" w:cs="Times New Roman"/>
          <w:sz w:val="28"/>
          <w:szCs w:val="28"/>
        </w:rPr>
        <w:t>5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человек, пенсионеров –  </w:t>
      </w:r>
      <w:r w:rsidR="002870CA">
        <w:rPr>
          <w:rFonts w:ascii="Times New Roman" w:hAnsi="Times New Roman" w:cs="Times New Roman"/>
          <w:sz w:val="28"/>
          <w:szCs w:val="28"/>
        </w:rPr>
        <w:t>563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</w:t>
      </w:r>
      <w:r w:rsidR="002870CA">
        <w:rPr>
          <w:rFonts w:ascii="Times New Roman" w:hAnsi="Times New Roman" w:cs="Times New Roman"/>
          <w:sz w:val="28"/>
          <w:szCs w:val="28"/>
        </w:rPr>
        <w:t>58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DD6FDC">
        <w:rPr>
          <w:rFonts w:ascii="Times New Roman" w:hAnsi="Times New Roman" w:cs="Times New Roman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86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0C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0C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2870C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0CA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CD234E" w:rsidRPr="00761B7D">
        <w:rPr>
          <w:rFonts w:ascii="Times New Roman" w:hAnsi="Times New Roman" w:cs="Times New Roman"/>
          <w:sz w:val="28"/>
          <w:szCs w:val="28"/>
        </w:rPr>
        <w:t>населения</w:t>
      </w:r>
      <w:r w:rsidR="002870CA">
        <w:rPr>
          <w:rFonts w:ascii="Times New Roman" w:hAnsi="Times New Roman" w:cs="Times New Roman"/>
          <w:sz w:val="28"/>
          <w:szCs w:val="28"/>
        </w:rPr>
        <w:t xml:space="preserve"> естественная и миграционная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</w:t>
      </w:r>
      <w:r w:rsidR="002870CA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Криничанская  основного общего образования</w:t>
      </w:r>
      <w:r w:rsidR="00CA5111">
        <w:rPr>
          <w:rFonts w:ascii="Times New Roman" w:hAnsi="Times New Roman" w:cs="Times New Roman"/>
          <w:sz w:val="28"/>
          <w:szCs w:val="28"/>
        </w:rPr>
        <w:t xml:space="preserve">  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CA5111">
        <w:rPr>
          <w:rFonts w:ascii="Times New Roman" w:hAnsi="Times New Roman" w:cs="Times New Roman"/>
          <w:sz w:val="28"/>
          <w:szCs w:val="28"/>
        </w:rPr>
        <w:t>24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514C6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3 полные группы- младшая дети от 1,5 до 3 –х лет, средняя- 3-4,5 и старшая- 4,5-6,5, посещают его </w:t>
      </w:r>
      <w:r w:rsidR="00CA5111">
        <w:rPr>
          <w:rFonts w:ascii="Times New Roman" w:hAnsi="Times New Roman" w:cs="Times New Roman"/>
          <w:sz w:val="28"/>
          <w:szCs w:val="28"/>
        </w:rPr>
        <w:t>68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КБО, аптечный пкнкт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- «Совет ветеранов». Создан Совет </w:t>
      </w:r>
      <w:r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="00607CDD" w:rsidRPr="00607CDD">
        <w:rPr>
          <w:rFonts w:ascii="Times New Roman" w:hAnsi="Times New Roman" w:cs="Times New Roman"/>
          <w:sz w:val="28"/>
          <w:szCs w:val="28"/>
        </w:rPr>
        <w:t>ветеранов в 2008 году.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692FEA" w:rsidRDefault="00691919" w:rsidP="006958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692FEA" w:rsidRPr="00691919">
        <w:rPr>
          <w:rFonts w:ascii="Times New Roman" w:hAnsi="Times New Roman" w:cs="Times New Roman"/>
          <w:sz w:val="28"/>
          <w:szCs w:val="28"/>
        </w:rPr>
        <w:t>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</w:t>
      </w:r>
      <w:r w:rsidR="002870CA">
        <w:rPr>
          <w:rFonts w:ascii="Times New Roman" w:hAnsi="Times New Roman" w:cs="Times New Roman"/>
          <w:sz w:val="28"/>
          <w:szCs w:val="28"/>
        </w:rPr>
        <w:t>1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2870CA">
        <w:rPr>
          <w:rFonts w:ascii="Times New Roman" w:hAnsi="Times New Roman" w:cs="Times New Roman"/>
          <w:sz w:val="28"/>
          <w:szCs w:val="28"/>
        </w:rPr>
        <w:t>. В х.Дядин в 2023 году реализован  п</w:t>
      </w:r>
      <w:r w:rsidR="00CA511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870CA">
        <w:rPr>
          <w:rFonts w:ascii="Times New Roman" w:hAnsi="Times New Roman" w:cs="Times New Roman"/>
          <w:sz w:val="28"/>
          <w:szCs w:val="28"/>
        </w:rPr>
        <w:t>н</w:t>
      </w:r>
      <w:r w:rsidR="00CA5111">
        <w:rPr>
          <w:rFonts w:ascii="Times New Roman" w:hAnsi="Times New Roman" w:cs="Times New Roman"/>
          <w:sz w:val="28"/>
          <w:szCs w:val="28"/>
        </w:rPr>
        <w:t xml:space="preserve">аправления «Обустройство кладбищ» </w:t>
      </w:r>
      <w:r w:rsidR="00CA5111" w:rsidRPr="001A54DB">
        <w:rPr>
          <w:rFonts w:ascii="Times New Roman" w:eastAsia="Times New Roman" w:hAnsi="Times New Roman" w:cs="Times New Roman"/>
          <w:sz w:val="28"/>
          <w:szCs w:val="28"/>
        </w:rPr>
        <w:t>проводимый автономной некоммерческой организацией 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2870CA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CA5111">
        <w:rPr>
          <w:rFonts w:ascii="Times New Roman" w:hAnsi="Times New Roman" w:cs="Times New Roman"/>
          <w:sz w:val="28"/>
          <w:szCs w:val="28"/>
        </w:rPr>
        <w:t>ограждение гражданского кладбища</w:t>
      </w:r>
      <w:r w:rsidR="002870CA">
        <w:rPr>
          <w:rFonts w:ascii="Times New Roman" w:hAnsi="Times New Roman" w:cs="Times New Roman"/>
          <w:sz w:val="28"/>
          <w:szCs w:val="28"/>
        </w:rPr>
        <w:t xml:space="preserve"> в хуторе Дядин</w:t>
      </w:r>
      <w:r w:rsidR="00CA5111">
        <w:rPr>
          <w:rFonts w:ascii="Times New Roman" w:hAnsi="Times New Roman" w:cs="Times New Roman"/>
          <w:sz w:val="28"/>
          <w:szCs w:val="28"/>
        </w:rPr>
        <w:t xml:space="preserve">. </w:t>
      </w:r>
      <w:r w:rsidR="0008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0CA" w:rsidRDefault="002870CA" w:rsidP="006958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общественников села Радченское, в 2023 году реализовано мероприятие «Ограждение гражданского кладбища в селе Радченское».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8834F2">
        <w:rPr>
          <w:rFonts w:ascii="Times New Roman" w:hAnsi="Times New Roman" w:cs="Times New Roman"/>
          <w:sz w:val="28"/>
          <w:szCs w:val="28"/>
        </w:rPr>
        <w:t>59,8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lastRenderedPageBreak/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2870CA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а территории поселения ГУП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ОБЛКОММУНСЕВРСИС»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работы </w:t>
      </w:r>
      <w:r w:rsidR="00B50CCA" w:rsidRPr="00B50CCA">
        <w:rPr>
          <w:rFonts w:ascii="Times New Roman" w:hAnsi="Times New Roman" w:cs="Times New Roman"/>
          <w:sz w:val="28"/>
          <w:szCs w:val="28"/>
        </w:rPr>
        <w:t>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4E6913">
        <w:rPr>
          <w:rFonts w:ascii="Times New Roman" w:hAnsi="Times New Roman" w:cs="Times New Roman"/>
          <w:sz w:val="28"/>
          <w:szCs w:val="28"/>
        </w:rPr>
        <w:t>, 1- 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CA5111">
        <w:rPr>
          <w:rFonts w:ascii="Times New Roman" w:hAnsi="Times New Roman" w:cs="Times New Roman"/>
          <w:sz w:val="28"/>
          <w:szCs w:val="28"/>
        </w:rPr>
        <w:t>1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Pr="005C0651">
        <w:rPr>
          <w:rFonts w:ascii="Times New Roman" w:hAnsi="Times New Roman" w:cs="Times New Roman"/>
          <w:sz w:val="28"/>
          <w:szCs w:val="28"/>
        </w:rPr>
        <w:t>, х.Дядин- 3,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006516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, с.Травкино-2;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в июле</w:t>
      </w:r>
      <w:r w:rsidR="002870CA">
        <w:rPr>
          <w:rFonts w:ascii="Times New Roman" w:hAnsi="Times New Roman" w:cs="Times New Roman"/>
          <w:sz w:val="28"/>
          <w:szCs w:val="28"/>
        </w:rPr>
        <w:t xml:space="preserve">2023года </w:t>
      </w:r>
      <w:r w:rsidR="00CA5111">
        <w:rPr>
          <w:rFonts w:ascii="Times New Roman" w:hAnsi="Times New Roman" w:cs="Times New Roman"/>
          <w:sz w:val="28"/>
          <w:szCs w:val="28"/>
        </w:rPr>
        <w:t xml:space="preserve">открылся </w:t>
      </w:r>
      <w:r w:rsidR="002870CA">
        <w:rPr>
          <w:rFonts w:ascii="Times New Roman" w:hAnsi="Times New Roman" w:cs="Times New Roman"/>
          <w:sz w:val="28"/>
          <w:szCs w:val="28"/>
        </w:rPr>
        <w:t>супер</w:t>
      </w:r>
      <w:r w:rsidR="00CA5111">
        <w:rPr>
          <w:rFonts w:ascii="Times New Roman" w:hAnsi="Times New Roman" w:cs="Times New Roman"/>
          <w:sz w:val="28"/>
          <w:szCs w:val="28"/>
        </w:rPr>
        <w:t>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626AE8" w:rsidRDefault="00626AE8" w:rsidP="00463B32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3B32" w:rsidRPr="00B52053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0CA" w:rsidRDefault="00FF13CC" w:rsidP="002870CA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CA">
        <w:rPr>
          <w:rFonts w:ascii="Times New Roman" w:hAnsi="Times New Roman" w:cs="Times New Roman"/>
          <w:color w:val="000000" w:themeColor="text1"/>
          <w:sz w:val="28"/>
          <w:szCs w:val="28"/>
        </w:rPr>
        <w:t>За 2023 год:</w:t>
      </w:r>
      <w:r w:rsidR="00CA5111" w:rsidRPr="0028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0CA" w:rsidRPr="005049DA" w:rsidRDefault="002870CA" w:rsidP="002870CA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32594,9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8287,3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-1733,0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-3796,0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1821,3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601,2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11,9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- 15,5т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-42,5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43,1т.р.,</w:t>
      </w:r>
    </w:p>
    <w:p w:rsidR="002870CA" w:rsidRDefault="002870CA" w:rsidP="002870CA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51,6 т.р.</w:t>
      </w:r>
    </w:p>
    <w:p w:rsidR="002870CA" w:rsidRPr="005049DA" w:rsidRDefault="002870CA" w:rsidP="002870CA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и земли -171,2т.р.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-24307,6т.р.,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23292,7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113,3,0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-901,6т.р.</w:t>
      </w:r>
    </w:p>
    <w:p w:rsidR="002870CA" w:rsidRDefault="002870CA" w:rsidP="0028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34466,4т.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2870CA" w:rsidRDefault="002870CA" w:rsidP="002870C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безопасность и правоохранительная деятельность – 200,0т.р.,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- 929,0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4901,4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113,3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3489,4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658,8т.р.,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232,6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7041,6т.р.,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- 93,2 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других обязательств   - 120,0 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16687,1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-445,1т.р.;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663,9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2870CA" w:rsidRPr="005049D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2344,2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322,7т.р.,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7885,1т.р.,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 водонапорных сетей -3056,9т.р.,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 ТБО -1969,2т.р.</w:t>
      </w:r>
    </w:p>
    <w:p w:rsidR="002870CA" w:rsidRPr="005049DA" w:rsidRDefault="00626AE8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0CA">
        <w:rPr>
          <w:rFonts w:ascii="Times New Roman" w:hAnsi="Times New Roman" w:cs="Times New Roman"/>
          <w:sz w:val="28"/>
          <w:szCs w:val="28"/>
        </w:rPr>
        <w:t xml:space="preserve">Дефицит  бюджета –1871,5т.р. </w:t>
      </w:r>
    </w:p>
    <w:p w:rsidR="002870CA" w:rsidRDefault="002870CA" w:rsidP="002870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B32" w:rsidRDefault="00463B32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Радченского сельского поселения                        Н.А. Рыбянцев</w:t>
      </w:r>
    </w:p>
    <w:sectPr w:rsidR="00463B32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94" w:rsidRDefault="00CC7194" w:rsidP="00E94D5C">
      <w:r>
        <w:separator/>
      </w:r>
    </w:p>
  </w:endnote>
  <w:endnote w:type="continuationSeparator" w:id="1">
    <w:p w:rsidR="00CC7194" w:rsidRDefault="00CC7194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94" w:rsidRDefault="00CC7194" w:rsidP="00E94D5C">
      <w:r>
        <w:separator/>
      </w:r>
    </w:p>
  </w:footnote>
  <w:footnote w:type="continuationSeparator" w:id="1">
    <w:p w:rsidR="00CC7194" w:rsidRDefault="00CC7194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0131"/>
    <w:rsid w:val="000047C9"/>
    <w:rsid w:val="00006516"/>
    <w:rsid w:val="00017B82"/>
    <w:rsid w:val="000254C9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722B5"/>
    <w:rsid w:val="00174191"/>
    <w:rsid w:val="001779B6"/>
    <w:rsid w:val="001814A7"/>
    <w:rsid w:val="001919E5"/>
    <w:rsid w:val="001B7F1E"/>
    <w:rsid w:val="001D3F01"/>
    <w:rsid w:val="001D5F73"/>
    <w:rsid w:val="001E3137"/>
    <w:rsid w:val="002070F0"/>
    <w:rsid w:val="002150C9"/>
    <w:rsid w:val="00223F85"/>
    <w:rsid w:val="00241670"/>
    <w:rsid w:val="00272AFE"/>
    <w:rsid w:val="00276499"/>
    <w:rsid w:val="002870CA"/>
    <w:rsid w:val="00297265"/>
    <w:rsid w:val="002A0494"/>
    <w:rsid w:val="002A12D9"/>
    <w:rsid w:val="002A447F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94F8F"/>
    <w:rsid w:val="003A6C97"/>
    <w:rsid w:val="003A7D69"/>
    <w:rsid w:val="003B37FC"/>
    <w:rsid w:val="003B55CF"/>
    <w:rsid w:val="003F6C38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AE8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D53B7"/>
    <w:rsid w:val="007E1A07"/>
    <w:rsid w:val="007F3869"/>
    <w:rsid w:val="008254E3"/>
    <w:rsid w:val="00841867"/>
    <w:rsid w:val="00841DD9"/>
    <w:rsid w:val="008541B1"/>
    <w:rsid w:val="0085437B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5ED"/>
    <w:rsid w:val="00926B1E"/>
    <w:rsid w:val="0098698C"/>
    <w:rsid w:val="0099480B"/>
    <w:rsid w:val="00996FB6"/>
    <w:rsid w:val="009A0040"/>
    <w:rsid w:val="009A2586"/>
    <w:rsid w:val="00A02391"/>
    <w:rsid w:val="00A06FAD"/>
    <w:rsid w:val="00A15479"/>
    <w:rsid w:val="00A20A7B"/>
    <w:rsid w:val="00A439F3"/>
    <w:rsid w:val="00A45925"/>
    <w:rsid w:val="00A503E2"/>
    <w:rsid w:val="00A54A48"/>
    <w:rsid w:val="00A56AFF"/>
    <w:rsid w:val="00A71DB8"/>
    <w:rsid w:val="00A83FE1"/>
    <w:rsid w:val="00A84F37"/>
    <w:rsid w:val="00AB0503"/>
    <w:rsid w:val="00AC5243"/>
    <w:rsid w:val="00AD4401"/>
    <w:rsid w:val="00AE3465"/>
    <w:rsid w:val="00AE668D"/>
    <w:rsid w:val="00AF0F8D"/>
    <w:rsid w:val="00AF2A51"/>
    <w:rsid w:val="00B0417C"/>
    <w:rsid w:val="00B11149"/>
    <w:rsid w:val="00B130C3"/>
    <w:rsid w:val="00B416E6"/>
    <w:rsid w:val="00B50CCA"/>
    <w:rsid w:val="00B50EB2"/>
    <w:rsid w:val="00B52053"/>
    <w:rsid w:val="00B73307"/>
    <w:rsid w:val="00B82B39"/>
    <w:rsid w:val="00B86E06"/>
    <w:rsid w:val="00B93A5E"/>
    <w:rsid w:val="00BA6E19"/>
    <w:rsid w:val="00BB0453"/>
    <w:rsid w:val="00BC159B"/>
    <w:rsid w:val="00BD37D6"/>
    <w:rsid w:val="00BE0F33"/>
    <w:rsid w:val="00C245E9"/>
    <w:rsid w:val="00C25421"/>
    <w:rsid w:val="00C501D3"/>
    <w:rsid w:val="00C54D47"/>
    <w:rsid w:val="00C80427"/>
    <w:rsid w:val="00CA5111"/>
    <w:rsid w:val="00CC652A"/>
    <w:rsid w:val="00CC7194"/>
    <w:rsid w:val="00CD234E"/>
    <w:rsid w:val="00CD31E6"/>
    <w:rsid w:val="00CD534C"/>
    <w:rsid w:val="00CE626C"/>
    <w:rsid w:val="00CF076D"/>
    <w:rsid w:val="00D003A6"/>
    <w:rsid w:val="00D00AC8"/>
    <w:rsid w:val="00D0366B"/>
    <w:rsid w:val="00D12DDF"/>
    <w:rsid w:val="00D43444"/>
    <w:rsid w:val="00D55D8F"/>
    <w:rsid w:val="00D62919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84952"/>
    <w:rsid w:val="00E91DA4"/>
    <w:rsid w:val="00E94D5C"/>
    <w:rsid w:val="00E95174"/>
    <w:rsid w:val="00EA7A48"/>
    <w:rsid w:val="00EB24BC"/>
    <w:rsid w:val="00EB6A3B"/>
    <w:rsid w:val="00ED74A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110</cp:revision>
  <cp:lastPrinted>2022-04-05T10:23:00Z</cp:lastPrinted>
  <dcterms:created xsi:type="dcterms:W3CDTF">2015-07-20T11:36:00Z</dcterms:created>
  <dcterms:modified xsi:type="dcterms:W3CDTF">2024-02-13T12:09:00Z</dcterms:modified>
</cp:coreProperties>
</file>